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E9AD06F" w:rsidR="0070197A" w:rsidRDefault="00EE702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Zakładać, czy nie zakładać? Pandemia nie wpłynęła na entuzjazm młodych start-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upów</w:t>
      </w:r>
      <w:proofErr w:type="spellEnd"/>
    </w:p>
    <w:p w14:paraId="143B286A" w14:textId="77777777" w:rsidR="00C136E1" w:rsidRDefault="00C136E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F59D28" w14:textId="77777777" w:rsidR="00C136E1" w:rsidRDefault="00C136E1" w:rsidP="00C136E1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Autor: Łukasz Blichewicz - współzałożyciel i prezes zarządu Grupy </w:t>
      </w:r>
      <w:proofErr w:type="spellStart"/>
      <w:r>
        <w:rPr>
          <w:bCs/>
          <w:i/>
          <w:iCs/>
        </w:rPr>
        <w:t>Assay</w:t>
      </w:r>
      <w:proofErr w:type="spellEnd"/>
      <w:r>
        <w:rPr>
          <w:bCs/>
          <w:i/>
          <w:iCs/>
        </w:rPr>
        <w:t>, ekspert w zakresie rozwoju i finansowania spółek technologicznych</w:t>
      </w:r>
    </w:p>
    <w:p w14:paraId="16369884" w14:textId="77777777" w:rsidR="00C136E1" w:rsidRDefault="00C136E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70197A" w:rsidRDefault="0070197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28A17014" w:rsidR="0070197A" w:rsidRDefault="00EE702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pierwszy rzut oka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lockdown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nie jest wymarzonym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anturażem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chwili zakładania nowego biznesu. Czy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koronawirus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faktycznie przekreślił plany młodych przedsiębiorców? I tak, i nie. Tegoroczna statystyka diametralnie nie odbiega od wyników za rok 2019, </w:t>
      </w:r>
      <w:r w:rsidRPr="009B7431">
        <w:rPr>
          <w:rFonts w:ascii="Times New Roman" w:eastAsia="Times New Roman" w:hAnsi="Times New Roman" w:cs="Times New Roman"/>
          <w:b/>
          <w:sz w:val="24"/>
          <w:szCs w:val="24"/>
        </w:rPr>
        <w:t xml:space="preserve">a tylko </w:t>
      </w:r>
      <w:r w:rsidR="003A2B50" w:rsidRPr="009B7431">
        <w:rPr>
          <w:rFonts w:ascii="Times New Roman" w:eastAsia="Times New Roman" w:hAnsi="Times New Roman" w:cs="Times New Roman"/>
          <w:b/>
          <w:sz w:val="24"/>
          <w:szCs w:val="24"/>
        </w:rPr>
        <w:t xml:space="preserve">ten </w:t>
      </w:r>
      <w:r w:rsidRPr="009B7431">
        <w:rPr>
          <w:rFonts w:ascii="Times New Roman" w:eastAsia="Times New Roman" w:hAnsi="Times New Roman" w:cs="Times New Roman"/>
          <w:b/>
          <w:sz w:val="24"/>
          <w:szCs w:val="24"/>
        </w:rPr>
        <w:t xml:space="preserve">jeden rodzaj działalności odnotował znaczące spadki. </w:t>
      </w:r>
      <w:r w:rsidRPr="007727CB">
        <w:rPr>
          <w:rFonts w:ascii="Times New Roman" w:eastAsia="Times New Roman" w:hAnsi="Times New Roman" w:cs="Times New Roman"/>
          <w:b/>
          <w:sz w:val="24"/>
          <w:szCs w:val="24"/>
        </w:rPr>
        <w:t>Zapał nie ominął również inwestorów.</w:t>
      </w:r>
    </w:p>
    <w:p w14:paraId="00000004" w14:textId="77777777" w:rsidR="0070197A" w:rsidRDefault="0070197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70197A" w:rsidRDefault="00EE702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Nic osobistego</w:t>
      </w:r>
    </w:p>
    <w:p w14:paraId="00000006" w14:textId="77777777" w:rsidR="0070197A" w:rsidRDefault="007019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4367ECEA" w:rsidR="0070197A" w:rsidRDefault="00EE70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Według Centralnego Ośrodka Informacji Gospodarczej (COIG)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koronawirus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wyraźnie odbił się na kondycji indywidualnych działalności gospodarczych. W 2020 roku na funkcjonowanie w modelu jednoosobowego przedsiębiorstwa postawiło 263,6 tys. osób, czyli prawie 14 proc. mniej niż w analogicznym okresie rok wcześniej. Ile takich form zadebiutowało w 2019</w:t>
      </w:r>
      <w:r w:rsidR="00C4647B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</w:rPr>
        <w:t>? Dokładnie 305,9 tys., więc rynek mógł znacząco odczuć braki najczęściej wśród specjalistów na tzw. B2B. Co więcej, pokłosie pandemii to nie tylko rekordy na przestrzeni ostatnich 12</w:t>
      </w:r>
      <w:r w:rsidR="00216A8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miesięcy. Wskaźnik za rok 2020 to także spadek rzędu 18,4 proc. w stosunku do </w:t>
      </w:r>
      <w:r w:rsidR="00216A8C">
        <w:rPr>
          <w:rFonts w:ascii="Times New Roman" w:eastAsia="Times New Roman" w:hAnsi="Times New Roman" w:cs="Times New Roman"/>
          <w:sz w:val="24"/>
          <w:szCs w:val="24"/>
        </w:rPr>
        <w:t xml:space="preserve">roku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2018, kiedy to na jednoosobową działalność zdecydowało się 323,1 tys. osób. Czy na tym koniec tendencji spadkowej? Niekoniecznie.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Koronawirus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zaserwował rynkowi najniższy wskaźnik indywidualnej formy działalności od ponad dekady.</w:t>
      </w:r>
    </w:p>
    <w:p w14:paraId="00000008" w14:textId="77777777" w:rsidR="0070197A" w:rsidRDefault="007019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70197A" w:rsidRDefault="00EE70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Kto rejestrował jednoosobową działalność w dobie pandemii? Na coraz popularniejszy model B2B decydowali się przede wszystkim pracownicy “wypychani” z innych form zatrudnienia. Specjaliści, którzy cieszyli się umową o pracę i relatywnie dużym popytem na ich usługi z reguły przekładali plany o działalności na własny rachunek. Co jednak z młodymi spółkami? Diametralnie inne nastroje panowały wśród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startupowców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A" w14:textId="77777777" w:rsidR="0070197A" w:rsidRDefault="007019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70197A" w:rsidRDefault="00EE702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Dobry moment na start?</w:t>
      </w:r>
    </w:p>
    <w:p w14:paraId="0000000C" w14:textId="77777777" w:rsidR="0070197A" w:rsidRDefault="007019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54112E63" w:rsidR="0070197A" w:rsidRDefault="00EE70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 wynika ze sprawozdań Krajowego Rejestru Sądowego,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koronawirus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znacząco nie wpłynął na plany spółek. W 2020 roku zarejestrowano 47,2 tys. podmiotów, a więc niewiele mniej, niż w poprzednim sezonie (</w:t>
      </w:r>
      <w:r w:rsidR="00542837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962E8E">
        <w:rPr>
          <w:rFonts w:ascii="Times New Roman" w:eastAsia="Times New Roman" w:hAnsi="Times New Roman" w:cs="Times New Roman"/>
          <w:sz w:val="24"/>
          <w:szCs w:val="24"/>
        </w:rPr>
        <w:t>rok</w:t>
      </w:r>
      <w:r w:rsidR="00542837">
        <w:rPr>
          <w:rFonts w:ascii="Times New Roman" w:eastAsia="Times New Roman" w:hAnsi="Times New Roman" w:cs="Times New Roman"/>
          <w:sz w:val="24"/>
          <w:szCs w:val="24"/>
        </w:rPr>
        <w:t>u</w:t>
      </w:r>
      <w:r w:rsidR="00962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2019 — 48,1 tys.). Co więcej, okres pandemii nie przekreślił dotychczasowego trendu na zakładanie nowych biznesów. Ostatnie wyniki zdetronizowały m.in. wskaźnik za rok 2018 (45,1 tys. spółek), czy 2017 (46,5 tys. spółek). Rekord z kolei padł 5 lat temu. W 2016 roku przedsiębiorcy przyczynili się do rejestracji 51,1 tys. podmiotów, czyli o około 3 tys. spółek więcej, niż w okresie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lockdownu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obostrzeń sanitarnych. Według analityków dużym zainteresowaniem w dobie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cieszyły się tzw. spółki specjalnego przeznaczenia, znane również jako spółki celowe. Tytułowy cel? Głównie usługi doradcze i profesjonalne.</w:t>
      </w:r>
    </w:p>
    <w:p w14:paraId="0000000E" w14:textId="77777777" w:rsidR="0070197A" w:rsidRDefault="007019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70197A" w:rsidRDefault="00EE70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Jeśli chodzi o konkretne nisze, które zagospodarowywały młode spółki, wyróżniają się przede wszystkim działalności profesjonalne, naukowe oraz techniczne. Z tego segmentu łącznie zarejestrowano 7,7 tys. nowych podmiotów. Do tej pory pierwszym miejscem na podium cieszył się handel, który w okresie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zajął drugą pozycję z wynikiem 7,6 tys. spółek. Stawkę zamyka budownictwo — 6,7 tys. zarejestrowanych działalności.</w:t>
      </w:r>
    </w:p>
    <w:p w14:paraId="00000010" w14:textId="77777777" w:rsidR="0070197A" w:rsidRDefault="007019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70197A" w:rsidRDefault="00EE702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Działać pomimo kryzysu</w:t>
      </w:r>
    </w:p>
    <w:p w14:paraId="00000012" w14:textId="77777777" w:rsidR="0070197A" w:rsidRDefault="007019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0197A" w:rsidRDefault="00EE70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 ciekawe, nisze, które najbardziej straciły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lockdownie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wciąż znaczących obostrzeniach, całkowicie nie zrezygnowały z nowych projektów. Takim przykładem jest chociażby branża transportowa, która w roku 2020 zyskała około 3 tys. całkowicie nowych spółek. Podobne ruchy odnotowano w przypadku hotelarstwa i gastronomii — w sektorze przedsiębiorcy zainaugurowali działalność blisko 2 tys. podmiotów. Główne ośrodki krajowego biznesu? Wciąż silna Warszawa z wynikiem 12,1 tys. nowych spółek, a następnie… długo nic. Drugie miejsce z wynikiem 2,7 tys. podmiotów zajął Wrocław. Trzecia lokata należy do Krakowa z bardzo zbliżonym wynikiem na poziomie 2,6 tys.</w:t>
      </w:r>
    </w:p>
    <w:p w14:paraId="00000014" w14:textId="77777777" w:rsidR="0070197A" w:rsidRDefault="007019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70197A" w:rsidRDefault="00EE70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Młode spółki pomimo kryzysu nadal próbują swoich sił na wciąż niepewnym rynku. Czy słusznie? O ile branże dotknięte największą liczbą obostrzeń muszą się mierzyć ze sporym wyzwaniem, to sporo nadziei dają nastroje giełdowe. Szczególnie start-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opierające swoją działalność na venture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nawet w dobie pandemii mogą spać spokojnie.</w:t>
      </w:r>
    </w:p>
    <w:p w14:paraId="00000016" w14:textId="77777777" w:rsidR="0070197A" w:rsidRDefault="007019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70197A" w:rsidRDefault="00EE702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Giełda z umiarkowanym optymizmem</w:t>
      </w:r>
    </w:p>
    <w:p w14:paraId="00000018" w14:textId="77777777" w:rsidR="0070197A" w:rsidRDefault="007019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70197A" w:rsidRDefault="00EE70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Według raportu “Barometr branży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Equity i Venture Capital” aż 90 proc. krajowych funduszy aktywnych pozytywnie ocenia swoją kondycję. Badania pod patronatem Polskiego Stowarzyszenia Inwestorów Kapitałowych </w:t>
      </w:r>
      <w:r w:rsidRPr="00DD46DB">
        <w:rPr>
          <w:rFonts w:ascii="Times New Roman" w:eastAsia="Times New Roman" w:hAnsi="Times New Roman" w:cs="Times New Roman"/>
          <w:sz w:val="24"/>
          <w:szCs w:val="24"/>
        </w:rPr>
        <w:t xml:space="preserve">wskazują, że 21 proc. funduszy spodziewa się zwrotów z inwestycji realizowanych w najbardziej ryzykownych momentach pandemii. Pozytywnie nastraja również prognoza blisko 50 proc. funduszy, które liczą na zwroty porównywalne z rokiem 2019. Nieco gorzej sytuację ocenia około 30 proc. podmiotów mówiących o mniejszych zyskach niż w poprzednim sezonie. Czy koniec końców pandemia wpłynęła na decyzje samych inwestorów? W dużej części przypadków — nie. Relatywnie duża liczba funduszy, bo 46 proc. deklaruje, że </w:t>
      </w:r>
      <w:proofErr w:type="spellStart"/>
      <w:r w:rsidRPr="00DD46DB">
        <w:rPr>
          <w:rFonts w:ascii="Times New Roman" w:eastAsia="Times New Roman" w:hAnsi="Times New Roman" w:cs="Times New Roman"/>
          <w:sz w:val="24"/>
          <w:szCs w:val="24"/>
        </w:rPr>
        <w:t>koronawirus</w:t>
      </w:r>
      <w:proofErr w:type="spellEnd"/>
      <w:r w:rsidRPr="00DD46DB">
        <w:rPr>
          <w:rFonts w:ascii="Times New Roman" w:eastAsia="Times New Roman" w:hAnsi="Times New Roman" w:cs="Times New Roman"/>
          <w:sz w:val="24"/>
          <w:szCs w:val="24"/>
        </w:rPr>
        <w:t xml:space="preserve"> nie zmienił dotychczasowych strategii.</w:t>
      </w:r>
    </w:p>
    <w:p w14:paraId="0000001A" w14:textId="77777777" w:rsidR="0070197A" w:rsidRDefault="007019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70197A" w:rsidRDefault="00EE70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Jakie branże dominowały w poszczególnych grupach kapitałowych? Obecnie fundusze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equity stawiają na IT,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e-commerce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 stanowi przedłużenie strategii z roku 2020. W przypadku venture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również brak zaskoczeń — inwestorzy wciąż interesują się start-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gamingowymi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sztuczną inteligencją, a także rozwiązaniami PII, czyli sektorem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data.</w:t>
      </w:r>
    </w:p>
    <w:p w14:paraId="0000001C" w14:textId="77777777" w:rsidR="0070197A" w:rsidRDefault="007019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9C0DFF" w14:textId="77777777" w:rsidR="002719D0" w:rsidRDefault="002719D0" w:rsidP="002719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Zarówno inwestorzy, jak i start-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upy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(szczególnie z branży technologicznej) wydają się wychodzić z pandemii obronną ręką. </w:t>
      </w:r>
      <w:r w:rsidRPr="002719D0">
        <w:rPr>
          <w:rFonts w:ascii="Times New Roman" w:eastAsia="Times New Roman" w:hAnsi="Times New Roman" w:cs="Times New Roman"/>
          <w:b/>
          <w:sz w:val="24"/>
          <w:szCs w:val="24"/>
        </w:rPr>
        <w:t xml:space="preserve">Ciekawym zjawiskiem jest także zakładanie działalności w branżach najciężej dotkniętych obostrzeniami, czyli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tag w:val="goog_rdk_0"/>
          <w:id w:val="1459449834"/>
        </w:sdtPr>
        <w:sdtEndPr/>
        <w:sdtContent/>
      </w:sdt>
      <w:r w:rsidRPr="002719D0">
        <w:rPr>
          <w:rFonts w:ascii="Times New Roman" w:eastAsia="Times New Roman" w:hAnsi="Times New Roman" w:cs="Times New Roman"/>
          <w:b/>
          <w:sz w:val="24"/>
          <w:szCs w:val="24"/>
        </w:rPr>
        <w:t xml:space="preserve">hotelarstwie i gastronomii. Takie ruchy nie zawsze oznaczają realną obsługę klientów, a stopniową </w:t>
      </w:r>
      <w:r w:rsidRPr="002719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rozbudowę infrastruktury z myślą o kolejnym sezonie.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Odwaga? Raczej nie. W tym sektorze prawdopodobnie w grę wchodzi staranne przygotowanie gruntu pod rynek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postpandemiczny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Co wtedy? Szybka nauka ze szkoły start-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upów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czyli jak najszybsze wdrażanie innowacji.</w:t>
      </w:r>
    </w:p>
    <w:p w14:paraId="0000001D" w14:textId="47141F43" w:rsidR="0070197A" w:rsidRDefault="0070197A" w:rsidP="002719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0197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7A"/>
    <w:rsid w:val="00216A8C"/>
    <w:rsid w:val="00254081"/>
    <w:rsid w:val="002719D0"/>
    <w:rsid w:val="00291FBE"/>
    <w:rsid w:val="002A215D"/>
    <w:rsid w:val="0037637A"/>
    <w:rsid w:val="003A2B50"/>
    <w:rsid w:val="00491641"/>
    <w:rsid w:val="00530D74"/>
    <w:rsid w:val="00542837"/>
    <w:rsid w:val="005A27B7"/>
    <w:rsid w:val="006B1CA2"/>
    <w:rsid w:val="0070197A"/>
    <w:rsid w:val="00725A3E"/>
    <w:rsid w:val="007727CB"/>
    <w:rsid w:val="00962E8E"/>
    <w:rsid w:val="009B7431"/>
    <w:rsid w:val="009F639F"/>
    <w:rsid w:val="00C136E1"/>
    <w:rsid w:val="00C4647B"/>
    <w:rsid w:val="00CF3365"/>
    <w:rsid w:val="00DD46DB"/>
    <w:rsid w:val="00EA79BC"/>
    <w:rsid w:val="00EE7026"/>
    <w:rsid w:val="00F3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8CD1"/>
  <w15:docId w15:val="{B6043096-3E28-4F10-9BC6-634A929A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A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A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A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A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A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Szewczyk</dc:creator>
  <cp:lastModifiedBy>Justyna Moskalewicz</cp:lastModifiedBy>
  <cp:revision>2</cp:revision>
  <dcterms:created xsi:type="dcterms:W3CDTF">2021-01-20T07:34:00Z</dcterms:created>
  <dcterms:modified xsi:type="dcterms:W3CDTF">2021-01-20T07:34:00Z</dcterms:modified>
</cp:coreProperties>
</file>